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龙南农商银行202</w:t>
      </w: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年</w:t>
      </w: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季度关联交易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  <w:r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  <w:t>信息披露报告</w:t>
      </w:r>
    </w:p>
    <w:p>
      <w:pPr>
        <w:widowControl/>
        <w:adjustRightInd w:val="0"/>
        <w:snapToGrid w:val="0"/>
        <w:spacing w:line="660" w:lineRule="exact"/>
        <w:jc w:val="center"/>
        <w:rPr>
          <w:rFonts w:hint="eastAsia" w:ascii="方正大标宋简体" w:hAnsi="Tahoma" w:eastAsia="方正大标宋简体" w:cs="Times New Roman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根据《银行保险机构关联交易管理办法》（中国银保监会2022年1号）的有关规定，现将</w:t>
      </w:r>
      <w:r>
        <w:rPr>
          <w:rFonts w:hint="default" w:ascii="仿宋_GB2312" w:hAnsi="Tahoma" w:eastAsia="仿宋_GB2312" w:cs="Times New Roman"/>
          <w:kern w:val="0"/>
          <w:sz w:val="32"/>
          <w:szCs w:val="32"/>
          <w:woUserID w:val="1"/>
        </w:rPr>
        <w:t>江西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龙南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农村商业银行股份有限公司（以下简称“本行”）202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季度关联交易情况披露如下：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一、范围界定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本行关联方范围是按照《银行保险机构关联交易管理办法》第五条至第八条的相关规定进行确认。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截至202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本行自然人关联方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户，法人关联方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户。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全部关联方关联交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51笔，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授信金额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11129.60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本行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2025年6月末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资本净额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156210.29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万元，全部关联方关联交易授信金额占本行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上季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末资本净额的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7.12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%，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符合监管规定。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、重大关联交易情况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截至202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月3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日，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因原董事徐超（关联企业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龙南市宏昌商贸有限责任公司、龙南宏昌生态蛋鸡养殖有限责任公司、龙南市宏昌生态农业有限责任公司、龙南县宏耘农业发展有限责任公司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）、原监事庄玮娴（关联企业龙南市福鑫钢铁有限公司、龙南市福昌隆废旧物资回收有限公司）辞职且已满观察期1年，6月末移除以上两人及相关关联方名单，</w:t>
      </w:r>
      <w:bookmarkStart w:id="0" w:name="_GoBack"/>
      <w:bookmarkEnd w:id="0"/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本行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结余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授信类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重大关联交易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笔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，授信总金额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上季末资本净额的比例为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0%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，符合监管规定。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本季度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发生授信类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重大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关联交易。</w:t>
      </w:r>
    </w:p>
    <w:p>
      <w:pPr>
        <w:numPr>
          <w:ilvl w:val="0"/>
          <w:numId w:val="0"/>
        </w:numPr>
        <w:ind w:left="630" w:leftChars="0"/>
        <w:rPr>
          <w:rFonts w:hint="eastAsia" w:ascii="楷体" w:hAnsi="楷体" w:eastAsia="楷体" w:cs="楷体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一般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关联交易情况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截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val="en-US" w:eastAsia="zh-CN"/>
        </w:rPr>
        <w:t>9月30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日，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本行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授信类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一般关联交易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51笔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，授信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总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额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11129.60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万元，占上季末资本净额的比例为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7.12</w:t>
      </w:r>
      <w:r>
        <w:rPr>
          <w:rFonts w:hint="eastAsia" w:ascii="仿宋_GB2312" w:hAnsi="Tahoma" w:eastAsia="仿宋_GB2312" w:cs="Times New Roman"/>
          <w:color w:val="auto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符合监管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  <w:lang w:eastAsia="zh-CN"/>
        </w:rPr>
        <w:t>规定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本季度发生授信类一般关联交易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笔，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交易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金额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1469.60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其中关联法人交易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3笔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交易金额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889万元；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关联自然人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交易2笔，金额580.60万元。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　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、其他情况说明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本期因人员变更，调整增加陈小军、曾衍欣等37户关联方自然人，减少钟纯、王培培等16户关联方自然人。调整后自然人关联方324户，法人关联方25户。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报告期内，本行与关联方的关联交易遵循商业原则，以不优于对非关联方同类交易的条件进行；授信类型关联交易根据本行现行的授信管理办法、关联交易管理办法，结合客户评级和风险情况确定相应价格，以确保本行关联交易定价的合法性和公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特此批露 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　　                   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江西龙南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9"/>
        <w:rPr>
          <w:rFonts w:hint="eastAsia" w:ascii="仿宋_GB2312" w:hAnsi="Tahoma" w:eastAsia="仿宋_GB2312" w:cs="Times New Roman"/>
          <w:kern w:val="0"/>
          <w:sz w:val="32"/>
          <w:szCs w:val="32"/>
        </w:rPr>
      </w:pP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 xml:space="preserve">　　                        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月</w:t>
      </w:r>
      <w:r>
        <w:rPr>
          <w:rFonts w:hint="eastAsia" w:ascii="仿宋_GB2312" w:hAnsi="Tahoma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Tahoma" w:eastAsia="仿宋_GB2312" w:cs="Times New Roman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58E9"/>
    <w:rsid w:val="049E2CA2"/>
    <w:rsid w:val="05F83056"/>
    <w:rsid w:val="07CE3B98"/>
    <w:rsid w:val="08E11E4F"/>
    <w:rsid w:val="093D6E82"/>
    <w:rsid w:val="0C6912E0"/>
    <w:rsid w:val="0D8840F7"/>
    <w:rsid w:val="0FF24A13"/>
    <w:rsid w:val="11B711E8"/>
    <w:rsid w:val="133D2919"/>
    <w:rsid w:val="13F23028"/>
    <w:rsid w:val="14C023DD"/>
    <w:rsid w:val="179764DF"/>
    <w:rsid w:val="17AC395C"/>
    <w:rsid w:val="185B1D11"/>
    <w:rsid w:val="192D6C52"/>
    <w:rsid w:val="1E2A53F3"/>
    <w:rsid w:val="20DC4AD0"/>
    <w:rsid w:val="23923197"/>
    <w:rsid w:val="2638625A"/>
    <w:rsid w:val="27A663F6"/>
    <w:rsid w:val="30594076"/>
    <w:rsid w:val="37472E10"/>
    <w:rsid w:val="37F432E8"/>
    <w:rsid w:val="3B3F241E"/>
    <w:rsid w:val="3B7E0B03"/>
    <w:rsid w:val="3C21624C"/>
    <w:rsid w:val="3D7B43B0"/>
    <w:rsid w:val="3DFFE25F"/>
    <w:rsid w:val="435A5841"/>
    <w:rsid w:val="44491145"/>
    <w:rsid w:val="44E450F2"/>
    <w:rsid w:val="4B253112"/>
    <w:rsid w:val="4D421EE2"/>
    <w:rsid w:val="4F6D1148"/>
    <w:rsid w:val="538A4F4B"/>
    <w:rsid w:val="54421437"/>
    <w:rsid w:val="548D461E"/>
    <w:rsid w:val="55614918"/>
    <w:rsid w:val="57311259"/>
    <w:rsid w:val="59132461"/>
    <w:rsid w:val="5A107B29"/>
    <w:rsid w:val="5A2A54F1"/>
    <w:rsid w:val="5C584D9B"/>
    <w:rsid w:val="5E011632"/>
    <w:rsid w:val="638D0661"/>
    <w:rsid w:val="663972B0"/>
    <w:rsid w:val="68D3291A"/>
    <w:rsid w:val="69207AA5"/>
    <w:rsid w:val="6A122FA3"/>
    <w:rsid w:val="6A497594"/>
    <w:rsid w:val="6B082881"/>
    <w:rsid w:val="6D3746E5"/>
    <w:rsid w:val="6FE45480"/>
    <w:rsid w:val="71377654"/>
    <w:rsid w:val="76FC03D4"/>
    <w:rsid w:val="78F07AC9"/>
    <w:rsid w:val="79730F73"/>
    <w:rsid w:val="7D6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lnnsh</cp:lastModifiedBy>
  <cp:lastPrinted>2025-04-29T15:38:00Z</cp:lastPrinted>
  <dcterms:modified xsi:type="dcterms:W3CDTF">2025-11-04T15:03:04Z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