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龙南农商银行202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年一季度关联交易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信息披露报告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根据《银行保险机构关联交易管理办法》（中国银保监会2022年1号）的有关规定，现将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农村商业银行股份有限公司（以下简称“本行”）202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季度关联交易情况披露如下：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一、范围界定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本行关联方范围是按照《银行保险机构关联交易管理办法》第五条至第八条的相关规定进行确认。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截至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本行自然人关联方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306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户，法人关联方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户。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全部关联方关联交易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63笔，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授信金额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23331.7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2024年12月末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资本净额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152160.2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万元，全部关联方关联交易授信金额占本行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上季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末资本净额的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15.33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符合监管规定。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、重大关联交易情况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截至202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月3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日，本行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授信类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重大关联交易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，授信总金额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9300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上季末资本净额的比例为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6.11%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，符合监管规定。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本季度发生授信类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  <w:lang w:eastAsia="zh-CN"/>
        </w:rPr>
        <w:t>重大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关联交易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笔，交易金额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  <w:lang w:val="en-US" w:eastAsia="zh-CN"/>
        </w:rPr>
        <w:t>2700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万元，其中关联法人交易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笔，交易金额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  <w:lang w:val="en-US" w:eastAsia="zh-CN"/>
        </w:rPr>
        <w:t>2700</w:t>
      </w:r>
      <w:r>
        <w:rPr>
          <w:rFonts w:hint="eastAsia" w:ascii="仿宋_GB2312" w:hAnsi="Tahoma" w:eastAsia="仿宋_GB2312"/>
          <w:kern w:val="0"/>
          <w:sz w:val="32"/>
          <w:szCs w:val="32"/>
          <w:highlight w:val="none"/>
        </w:rPr>
        <w:t>万元；未发生关联自然人交易</w:t>
      </w:r>
      <w:r>
        <w:rPr>
          <w:rFonts w:hint="eastAsia" w:ascii="仿宋_GB2312" w:hAnsi="Tahoma" w:eastAsia="仿宋_GB2312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ind w:left="630" w:leftChars="0"/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一般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截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3月31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日，本行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授信类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一般关联交易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59笔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，授信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14031.7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万元，占上季末资本净额的比例为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9.22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%，符合监管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规定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本季度发生授信类一般关联交易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笔，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1790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其中关联法人交易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2笔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交易金额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1100万元；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关联自然人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交易5笔，金额690万元。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、其他情况说明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本期因人员变更，调整增加廖诗明、曾亮等39户关联人自然人，减少李斌、廖立等27户关联人自然人；减少龙南市百易购物广场有限公司、沃泰控股集团有限公司等19户关联人法人；调整后自然人关联方306户，法人关联方23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报告期内，本行与关联方的关联交易遵循商业原则，以不优于对非关联方同类交易的条件进行；授信类型关联交易根据本行现行的授信管理办法、关联交易管理办法，结合客户评级和风险情况确定相应价格，以确保本行关联交易定价的合法性和公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特此批露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                  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江西龙南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 xml:space="preserve">　　                        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3056"/>
    <w:rsid w:val="08E11E4F"/>
    <w:rsid w:val="093D6E82"/>
    <w:rsid w:val="0D8840F7"/>
    <w:rsid w:val="13F23028"/>
    <w:rsid w:val="185B1D11"/>
    <w:rsid w:val="20DC4AD0"/>
    <w:rsid w:val="23923197"/>
    <w:rsid w:val="2638625A"/>
    <w:rsid w:val="27A663F6"/>
    <w:rsid w:val="30594076"/>
    <w:rsid w:val="37F432E8"/>
    <w:rsid w:val="3B7E0B03"/>
    <w:rsid w:val="3D7B43B0"/>
    <w:rsid w:val="4B253112"/>
    <w:rsid w:val="4F6D1148"/>
    <w:rsid w:val="59132461"/>
    <w:rsid w:val="638D0661"/>
    <w:rsid w:val="69207AA5"/>
    <w:rsid w:val="6A497594"/>
    <w:rsid w:val="6D3746E5"/>
    <w:rsid w:val="71377654"/>
    <w:rsid w:val="76FC03D4"/>
    <w:rsid w:val="78F07AC9"/>
    <w:rsid w:val="7D6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lnnsh</cp:lastModifiedBy>
  <dcterms:modified xsi:type="dcterms:W3CDTF">2025-04-29T06:45:04Z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